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501D" w14:textId="77777777" w:rsidR="00000E5B" w:rsidRDefault="00000E5B" w:rsidP="00000E5B">
      <w:pPr>
        <w:pStyle w:val="NormalWeb"/>
        <w:spacing w:before="300" w:beforeAutospacing="0" w:after="300" w:afterAutospacing="0"/>
        <w:jc w:val="center"/>
      </w:pPr>
      <w:r>
        <w:rPr>
          <w:rStyle w:val="Forte"/>
          <w:rFonts w:ascii="Arial" w:hAnsi="Arial" w:cs="Arial"/>
          <w:color w:val="000080"/>
          <w:sz w:val="20"/>
          <w:szCs w:val="20"/>
        </w:rPr>
        <w:fldChar w:fldCharType="begin"/>
      </w:r>
      <w:r>
        <w:rPr>
          <w:rStyle w:val="Forte"/>
          <w:rFonts w:ascii="Arial" w:hAnsi="Arial" w:cs="Arial"/>
          <w:color w:val="000080"/>
          <w:sz w:val="20"/>
          <w:szCs w:val="20"/>
        </w:rPr>
        <w:instrText xml:space="preserve"> HYPERLINK "http://legislacao.planalto.gov.br/legisla/legislacao.nsf/Viw_Identificacao/lei%2014.313-2022?OpenDocument" </w:instrText>
      </w:r>
      <w:r>
        <w:rPr>
          <w:rStyle w:val="Forte"/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b/>
          <w:bCs/>
          <w:color w:val="000080"/>
          <w:sz w:val="20"/>
          <w:szCs w:val="20"/>
        </w:rPr>
        <w:t>LEI Nº 14.313, DE 21 DE MARÇO DE 2022</w:t>
      </w:r>
      <w:r>
        <w:rPr>
          <w:rStyle w:val="Forte"/>
          <w:rFonts w:ascii="Arial" w:hAnsi="Arial" w:cs="Arial"/>
          <w:color w:val="000080"/>
          <w:sz w:val="20"/>
          <w:szCs w:val="20"/>
        </w:rPr>
        <w:fldChar w:fldCharType="end"/>
      </w:r>
      <w:r>
        <w:rPr>
          <w:rStyle w:val="Forte"/>
          <w:rFonts w:ascii="Arial" w:hAnsi="Arial" w:cs="Arial"/>
          <w:color w:val="000080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960"/>
      </w:tblGrid>
      <w:tr w:rsidR="00000E5B" w14:paraId="70B02628" w14:textId="77777777" w:rsidTr="00000E5B">
        <w:trPr>
          <w:tblCellSpacing w:w="0" w:type="dxa"/>
        </w:trPr>
        <w:tc>
          <w:tcPr>
            <w:tcW w:w="2084" w:type="pct"/>
            <w:vAlign w:val="center"/>
            <w:hideMark/>
          </w:tcPr>
          <w:p w14:paraId="6C4C47EB" w14:textId="77777777" w:rsidR="00000E5B" w:rsidRDefault="00000E5B" w:rsidP="00000E5B">
            <w:pPr>
              <w:jc w:val="both"/>
            </w:pPr>
            <w:r>
              <w:t> </w:t>
            </w:r>
          </w:p>
        </w:tc>
        <w:tc>
          <w:tcPr>
            <w:tcW w:w="2916" w:type="pct"/>
            <w:vAlign w:val="center"/>
            <w:hideMark/>
          </w:tcPr>
          <w:p w14:paraId="456FE4FA" w14:textId="77777777" w:rsidR="00000E5B" w:rsidRPr="00000E5B" w:rsidRDefault="00000E5B" w:rsidP="00000E5B">
            <w:pPr>
              <w:pStyle w:val="NormalWeb"/>
              <w:jc w:val="both"/>
              <w:rPr>
                <w:b/>
                <w:bCs/>
              </w:rPr>
            </w:pPr>
            <w:r w:rsidRPr="00000E5B">
              <w:rPr>
                <w:rFonts w:ascii="Arial" w:hAnsi="Arial" w:cs="Arial"/>
                <w:b/>
                <w:bCs/>
                <w:sz w:val="20"/>
                <w:szCs w:val="20"/>
              </w:rPr>
              <w:t>Altera a Lei nº 8.080, de 19 de setembro de 1990 (Lei Orgânica da Saúde), para dispor sobre os processos de incorporação de tecnologias ao Sistema Único de Saúde (SUS) e sobre a utilização, pelo SUS, de medicamentos cuja indicação de uso seja distinta daquela aprovada no registro da Agência Nacional de Vigilância Sanitária (Anvisa).</w:t>
            </w:r>
          </w:p>
        </w:tc>
      </w:tr>
    </w:tbl>
    <w:p w14:paraId="30B4B67B" w14:textId="77777777" w:rsidR="00000E5B" w:rsidRDefault="00000E5B" w:rsidP="00000E5B">
      <w:pPr>
        <w:pStyle w:val="NormalWeb"/>
        <w:spacing w:before="225" w:beforeAutospacing="0" w:after="225" w:afterAutospacing="0"/>
        <w:ind w:right="-57" w:firstLine="570"/>
        <w:jc w:val="both"/>
      </w:pPr>
      <w:proofErr w:type="gramStart"/>
      <w:r>
        <w:rPr>
          <w:rFonts w:ascii="Arial" w:hAnsi="Arial" w:cs="Arial"/>
          <w:b/>
          <w:bCs/>
          <w:sz w:val="20"/>
          <w:szCs w:val="20"/>
        </w:rPr>
        <w:t>O  PRESIDENTE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 DA REPÚBLICA </w:t>
      </w:r>
      <w:r>
        <w:rPr>
          <w:rFonts w:ascii="Arial" w:hAnsi="Arial" w:cs="Arial"/>
          <w:sz w:val="20"/>
          <w:szCs w:val="20"/>
        </w:rPr>
        <w:t>Faço saber que o Congresso Nacional decreta e eu sanciono a seguinte Lei:</w:t>
      </w:r>
    </w:p>
    <w:p w14:paraId="1FC96088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bookmarkStart w:id="0" w:name="art1"/>
      <w:bookmarkEnd w:id="0"/>
      <w:r>
        <w:rPr>
          <w:rFonts w:ascii="Arial" w:hAnsi="Arial" w:cs="Arial"/>
          <w:sz w:val="20"/>
          <w:szCs w:val="20"/>
        </w:rPr>
        <w:t>Art. 1</w:t>
      </w:r>
      <w:proofErr w:type="gramStart"/>
      <w:r>
        <w:rPr>
          <w:rFonts w:ascii="Arial" w:hAnsi="Arial" w:cs="Arial"/>
          <w:sz w:val="20"/>
          <w:szCs w:val="20"/>
        </w:rPr>
        <w:t>º  Os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 xml:space="preserve">. 19-Q, 19-R e 19-T da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Lei nº 8.080, de 19 de setembro de 1990</w:t>
        </w:r>
      </w:hyperlink>
      <w:r>
        <w:rPr>
          <w:rFonts w:ascii="Arial" w:hAnsi="Arial" w:cs="Arial"/>
          <w:sz w:val="20"/>
          <w:szCs w:val="20"/>
        </w:rPr>
        <w:t xml:space="preserve"> (Lei Orgânica da Saúde), passam a vigorar com as seguintes alterações:</w:t>
      </w:r>
    </w:p>
    <w:p w14:paraId="0B88FEB3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r>
        <w:rPr>
          <w:rFonts w:ascii="Arial" w:hAnsi="Arial" w:cs="Arial"/>
          <w:sz w:val="20"/>
          <w:szCs w:val="20"/>
        </w:rPr>
        <w:t>“Art. 19-Q. .............................................................................................................</w:t>
      </w:r>
    </w:p>
    <w:p w14:paraId="219FE2D5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14:paraId="0DCDDC00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hyperlink r:id="rId5" w:anchor="art19q§3" w:history="1">
        <w:r>
          <w:rPr>
            <w:rStyle w:val="Hyperlink"/>
            <w:rFonts w:ascii="Arial" w:hAnsi="Arial" w:cs="Arial"/>
            <w:sz w:val="20"/>
            <w:szCs w:val="20"/>
          </w:rPr>
          <w:t>§ 3º</w:t>
        </w:r>
      </w:hyperlink>
      <w:r>
        <w:rPr>
          <w:rFonts w:ascii="Arial" w:hAnsi="Arial" w:cs="Arial"/>
          <w:sz w:val="20"/>
          <w:szCs w:val="20"/>
        </w:rPr>
        <w:t xml:space="preserve"> As metodologias empregadas na avaliação econômica a que se refere o inciso II do § 2º deste artigo serão dispostas em regulamento e amplamente divulgadas, inclusive em relação aos indicadores e parâmetros de custo-efetividade utilizados em combinação com outros critérios.” (NR)</w:t>
      </w:r>
    </w:p>
    <w:p w14:paraId="2D7D9E94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r>
        <w:rPr>
          <w:rFonts w:ascii="Arial" w:hAnsi="Arial" w:cs="Arial"/>
          <w:sz w:val="20"/>
          <w:szCs w:val="20"/>
        </w:rPr>
        <w:t>“Art. 19-R. .............................................................................................................</w:t>
      </w:r>
    </w:p>
    <w:p w14:paraId="47395E8B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r>
        <w:rPr>
          <w:rFonts w:ascii="Arial" w:hAnsi="Arial" w:cs="Arial"/>
          <w:sz w:val="20"/>
          <w:szCs w:val="20"/>
        </w:rPr>
        <w:t>§ 1º ........................................................................................................................</w:t>
      </w:r>
    </w:p>
    <w:p w14:paraId="7EECDEF9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14:paraId="6032E68C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hyperlink r:id="rId6" w:anchor="art19rv" w:history="1">
        <w:r>
          <w:rPr>
            <w:rStyle w:val="Hyperlink"/>
            <w:rFonts w:ascii="Arial" w:hAnsi="Arial" w:cs="Arial"/>
            <w:sz w:val="20"/>
            <w:szCs w:val="20"/>
          </w:rPr>
          <w:t>V -</w:t>
        </w:r>
      </w:hyperlink>
      <w:r>
        <w:rPr>
          <w:rFonts w:ascii="Arial" w:hAnsi="Arial" w:cs="Arial"/>
          <w:sz w:val="20"/>
          <w:szCs w:val="20"/>
        </w:rPr>
        <w:t xml:space="preserve"> distribuição aleatória, respeitadas a especialização e a competência técnica requeridas para a análise da matéria;</w:t>
      </w:r>
    </w:p>
    <w:p w14:paraId="1BC37EE0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r>
        <w:rPr>
          <w:rFonts w:ascii="Arial" w:hAnsi="Arial" w:cs="Arial"/>
          <w:sz w:val="20"/>
          <w:szCs w:val="20"/>
        </w:rPr>
        <w:t xml:space="preserve">VI - </w:t>
      </w:r>
      <w:proofErr w:type="gramStart"/>
      <w:r>
        <w:rPr>
          <w:rFonts w:ascii="Arial" w:hAnsi="Arial" w:cs="Arial"/>
          <w:sz w:val="20"/>
          <w:szCs w:val="20"/>
        </w:rPr>
        <w:t>publicidade</w:t>
      </w:r>
      <w:proofErr w:type="gramEnd"/>
      <w:r>
        <w:rPr>
          <w:rFonts w:ascii="Arial" w:hAnsi="Arial" w:cs="Arial"/>
          <w:sz w:val="20"/>
          <w:szCs w:val="20"/>
        </w:rPr>
        <w:t xml:space="preserve"> dos atos processuais.</w:t>
      </w:r>
    </w:p>
    <w:p w14:paraId="35E70E13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.....................................................................................................................” (NR)</w:t>
      </w:r>
    </w:p>
    <w:p w14:paraId="7C13B94E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r>
        <w:rPr>
          <w:rFonts w:ascii="Arial" w:hAnsi="Arial" w:cs="Arial"/>
          <w:sz w:val="20"/>
          <w:szCs w:val="20"/>
        </w:rPr>
        <w:t>“Art. 19-T. ..............................................................................................................</w:t>
      </w:r>
    </w:p>
    <w:p w14:paraId="1BB8CD57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hyperlink r:id="rId7" w:anchor="art19tp" w:history="1">
        <w:r>
          <w:rPr>
            <w:rStyle w:val="Hyperlink"/>
            <w:rFonts w:ascii="Arial" w:hAnsi="Arial" w:cs="Arial"/>
            <w:sz w:val="20"/>
            <w:szCs w:val="20"/>
          </w:rPr>
          <w:t>Parágrafo único.</w:t>
        </w:r>
      </w:hyperlink>
      <w:r>
        <w:rPr>
          <w:rFonts w:ascii="Arial" w:hAnsi="Arial" w:cs="Arial"/>
          <w:sz w:val="20"/>
          <w:szCs w:val="20"/>
        </w:rPr>
        <w:t xml:space="preserve"> Excetuam-se do disposto neste artigo:</w:t>
      </w:r>
    </w:p>
    <w:p w14:paraId="1BAA3A94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r>
        <w:rPr>
          <w:rFonts w:ascii="Arial" w:hAnsi="Arial" w:cs="Arial"/>
          <w:sz w:val="20"/>
          <w:szCs w:val="20"/>
        </w:rPr>
        <w:t xml:space="preserve">I - </w:t>
      </w:r>
      <w:proofErr w:type="gramStart"/>
      <w:r>
        <w:rPr>
          <w:rFonts w:ascii="Arial" w:hAnsi="Arial" w:cs="Arial"/>
          <w:sz w:val="20"/>
          <w:szCs w:val="20"/>
        </w:rPr>
        <w:t>medicamento e produto</w:t>
      </w:r>
      <w:proofErr w:type="gramEnd"/>
      <w:r>
        <w:rPr>
          <w:rFonts w:ascii="Arial" w:hAnsi="Arial" w:cs="Arial"/>
          <w:sz w:val="20"/>
          <w:szCs w:val="20"/>
        </w:rPr>
        <w:t xml:space="preserve"> em que a indicação de uso seja distinta daquela aprovada no registro na Anvisa, desde que seu uso tenha sido recomendado pela Comissão Nacional de Incorporação de Tecnologias no Sistema Único de Saúde (</w:t>
      </w:r>
      <w:proofErr w:type="spellStart"/>
      <w:r>
        <w:rPr>
          <w:rFonts w:ascii="Arial" w:hAnsi="Arial" w:cs="Arial"/>
          <w:sz w:val="20"/>
          <w:szCs w:val="20"/>
        </w:rPr>
        <w:t>Conitec</w:t>
      </w:r>
      <w:proofErr w:type="spellEnd"/>
      <w:r>
        <w:rPr>
          <w:rFonts w:ascii="Arial" w:hAnsi="Arial" w:cs="Arial"/>
          <w:sz w:val="20"/>
          <w:szCs w:val="20"/>
        </w:rPr>
        <w:t>), demonstradas as evidências científicas sobre a eficácia, a acurácia, a efetividade e a segurança, e esteja padronizado em protocolo estabelecido pelo Ministério da Saúde;</w:t>
      </w:r>
    </w:p>
    <w:p w14:paraId="6C960D8A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r>
        <w:rPr>
          <w:rFonts w:ascii="Arial" w:hAnsi="Arial" w:cs="Arial"/>
          <w:sz w:val="20"/>
          <w:szCs w:val="20"/>
        </w:rPr>
        <w:t xml:space="preserve">II - medicamento e produto recomendados pela </w:t>
      </w:r>
      <w:proofErr w:type="spellStart"/>
      <w:r>
        <w:rPr>
          <w:rFonts w:ascii="Arial" w:hAnsi="Arial" w:cs="Arial"/>
          <w:sz w:val="20"/>
          <w:szCs w:val="20"/>
        </w:rPr>
        <w:t>Conitec</w:t>
      </w:r>
      <w:proofErr w:type="spellEnd"/>
      <w:r>
        <w:rPr>
          <w:rFonts w:ascii="Arial" w:hAnsi="Arial" w:cs="Arial"/>
          <w:sz w:val="20"/>
          <w:szCs w:val="20"/>
        </w:rPr>
        <w:t xml:space="preserve"> e adquiridos por intermédio de organismos multilaterais internacionais, para uso em programas de saúde pública do Ministério da Saúde e suas entidades vinculadas, nos termos do </w:t>
      </w:r>
      <w:hyperlink r:id="rId8" w:anchor="art8§5" w:history="1">
        <w:r>
          <w:rPr>
            <w:rStyle w:val="Hyperlink"/>
            <w:rFonts w:ascii="Arial" w:hAnsi="Arial" w:cs="Arial"/>
            <w:sz w:val="20"/>
            <w:szCs w:val="20"/>
          </w:rPr>
          <w:t>§ 5º do art. 8º da Lei nº 9.782, de 26 de janeiro de 1999</w:t>
        </w:r>
      </w:hyperlink>
      <w:r>
        <w:rPr>
          <w:rFonts w:ascii="Arial" w:hAnsi="Arial" w:cs="Arial"/>
          <w:sz w:val="20"/>
          <w:szCs w:val="20"/>
        </w:rPr>
        <w:t>.” (NR)</w:t>
      </w:r>
    </w:p>
    <w:p w14:paraId="539255CD" w14:textId="77777777" w:rsidR="00000E5B" w:rsidRDefault="00000E5B" w:rsidP="00000E5B">
      <w:pPr>
        <w:pStyle w:val="NormalWeb"/>
        <w:spacing w:before="225" w:beforeAutospacing="0" w:after="225" w:afterAutospacing="0"/>
        <w:ind w:firstLine="570"/>
        <w:jc w:val="both"/>
      </w:pPr>
      <w:bookmarkStart w:id="1" w:name="art2"/>
      <w:bookmarkEnd w:id="1"/>
      <w:r>
        <w:rPr>
          <w:rFonts w:ascii="Arial" w:hAnsi="Arial" w:cs="Arial"/>
          <w:sz w:val="20"/>
          <w:szCs w:val="20"/>
        </w:rPr>
        <w:t>Art. 2º Esta Lei entra em vigor na data de sua publicação.</w:t>
      </w:r>
    </w:p>
    <w:p w14:paraId="2FF27E41" w14:textId="77777777" w:rsidR="00000E5B" w:rsidRDefault="00000E5B" w:rsidP="00000E5B">
      <w:pPr>
        <w:pStyle w:val="NormalWeb"/>
        <w:spacing w:before="225" w:beforeAutospacing="0" w:after="225" w:afterAutospacing="0"/>
        <w:ind w:right="-57" w:firstLine="570"/>
        <w:jc w:val="both"/>
      </w:pPr>
      <w:r>
        <w:rPr>
          <w:rFonts w:ascii="Arial" w:hAnsi="Arial" w:cs="Arial"/>
          <w:sz w:val="20"/>
          <w:szCs w:val="20"/>
        </w:rPr>
        <w:t>Brasília, 21 de março de 2022; 201º da Independência e 134º da República.</w:t>
      </w:r>
    </w:p>
    <w:p w14:paraId="4089E59F" w14:textId="77777777" w:rsidR="00000E5B" w:rsidRDefault="00000E5B" w:rsidP="00000E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4E242DB" w14:textId="00BF28B9" w:rsidR="00000E5B" w:rsidRDefault="00000E5B" w:rsidP="00000E5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JAIR MESSIAS BOLSONARO</w:t>
      </w:r>
    </w:p>
    <w:p w14:paraId="772B8AB8" w14:textId="77777777" w:rsidR="00000E5B" w:rsidRDefault="00000E5B" w:rsidP="00000E5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Rodrigo Otávio Moreira da Cruz</w:t>
      </w:r>
    </w:p>
    <w:p w14:paraId="114007B1" w14:textId="77777777" w:rsidR="00205D42" w:rsidRDefault="00205D42"/>
    <w:sectPr w:rsidR="00205D42" w:rsidSect="00000E5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6F"/>
    <w:rsid w:val="00000E5B"/>
    <w:rsid w:val="00205D42"/>
    <w:rsid w:val="009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A63F"/>
  <w15:chartTrackingRefBased/>
  <w15:docId w15:val="{7F9F4A25-F700-4421-81D3-1F9FA984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D6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C0D6F"/>
    <w:rPr>
      <w:color w:val="0000FF"/>
      <w:u w:val="single"/>
    </w:rPr>
  </w:style>
  <w:style w:type="paragraph" w:customStyle="1" w:styleId="texto1">
    <w:name w:val="texto1"/>
    <w:basedOn w:val="Normal"/>
    <w:rsid w:val="009C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78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808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080.htm" TargetMode="External"/><Relationship Id="rId5" Type="http://schemas.openxmlformats.org/officeDocument/2006/relationships/hyperlink" Target="http://www.planalto.gov.br/ccivil_03/LEIS/L8080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lanalto.gov.br/ccivil_03/LEIS/L8080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2873</Characters>
  <Application>Microsoft Office Word</Application>
  <DocSecurity>0</DocSecurity>
  <Lines>23</Lines>
  <Paragraphs>6</Paragraphs>
  <ScaleCrop>false</ScaleCrop>
  <Company>Secretaria Estadual de Mato Grosso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Aires Sartori</dc:creator>
  <cp:keywords/>
  <dc:description/>
  <cp:lastModifiedBy>Aires Sartori</cp:lastModifiedBy>
  <cp:revision>2</cp:revision>
  <dcterms:created xsi:type="dcterms:W3CDTF">2022-04-07T13:05:00Z</dcterms:created>
  <dcterms:modified xsi:type="dcterms:W3CDTF">2022-04-07T13:05:00Z</dcterms:modified>
</cp:coreProperties>
</file>